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86М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1872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</w:p>
    <w:p>
      <w:pPr>
        <w:widowControl w:val="0"/>
        <w:spacing w:before="0" w:after="0"/>
        <w:jc w:val="right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 Нижневартовского судебного района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- Югры Янбаева Г.Х.,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гр-на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водительское удостоверение </w:t>
      </w:r>
      <w:r>
        <w:rPr>
          <w:rStyle w:val="cat-UserDefinedgrp-3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 и проживающего по адресу: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по ч. 1.1.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</w:p>
    <w:p>
      <w:pPr>
        <w:spacing w:before="0" w:after="0"/>
        <w:ind w:right="57" w:firstLine="551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57" w:firstLine="551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Таёжная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17/3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</w:t>
      </w:r>
      <w:r>
        <w:rPr>
          <w:rFonts w:ascii="Times New Roman" w:eastAsia="Times New Roman" w:hAnsi="Times New Roman" w:cs="Times New Roman"/>
          <w:sz w:val="26"/>
          <w:szCs w:val="26"/>
        </w:rPr>
        <w:t>Покачи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 -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автомобилем </w:t>
      </w:r>
      <w:r>
        <w:rPr>
          <w:rFonts w:ascii="Times New Roman" w:eastAsia="Times New Roman" w:hAnsi="Times New Roman" w:cs="Times New Roman"/>
          <w:sz w:val="26"/>
          <w:szCs w:val="26"/>
        </w:rPr>
        <w:t>ВАЗ 21093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9rplc-2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незарегистрированным в установленном порядке, указанное нарушение совершено повторно.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о дате и времени проведения судебного заседания извещен надлежащим образом, ходатайство об отложении судебного заседания не заявлял.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д</w:t>
      </w:r>
      <w:r>
        <w:rPr>
          <w:rFonts w:ascii="Times New Roman" w:eastAsia="Times New Roman" w:hAnsi="Times New Roman" w:cs="Times New Roman"/>
          <w:sz w:val="26"/>
          <w:szCs w:val="26"/>
        </w:rPr>
        <w:t>оказательства по делу: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 об административном правонарушении 86 ХМ </w:t>
      </w:r>
      <w:r>
        <w:rPr>
          <w:rFonts w:ascii="Times New Roman" w:eastAsia="Times New Roman" w:hAnsi="Times New Roman" w:cs="Times New Roman"/>
          <w:sz w:val="26"/>
          <w:szCs w:val="26"/>
        </w:rPr>
        <w:t>588929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из которого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eastAsia="Times New Roman" w:hAnsi="Times New Roman" w:cs="Times New Roman"/>
          <w:sz w:val="26"/>
          <w:szCs w:val="26"/>
        </w:rPr>
        <w:t>с протоколом ознакомлен.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о чем в протоколе имеется его подпись;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-объяснение гр-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-копию договора купли-продажи автомобиля от 7 сентября 2023 года;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купли-продажи автомобиля </w:t>
      </w:r>
      <w:r>
        <w:rPr>
          <w:rFonts w:ascii="Times New Roman" w:eastAsia="Times New Roman" w:hAnsi="Times New Roman" w:cs="Times New Roman"/>
          <w:sz w:val="26"/>
          <w:szCs w:val="26"/>
        </w:rPr>
        <w:t>без даты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-копию протокола изъятия вещей и документов от 14 мая 2024 года 86 СГ № 101614;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копи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№ 18810086</w:t>
      </w:r>
      <w:r>
        <w:rPr>
          <w:rFonts w:ascii="Times New Roman" w:eastAsia="Times New Roman" w:hAnsi="Times New Roman" w:cs="Times New Roman"/>
          <w:sz w:val="26"/>
          <w:szCs w:val="26"/>
        </w:rPr>
        <w:t>22000</w:t>
      </w:r>
      <w:r>
        <w:rPr>
          <w:rFonts w:ascii="Times New Roman" w:eastAsia="Times New Roman" w:hAnsi="Times New Roman" w:cs="Times New Roman"/>
          <w:sz w:val="26"/>
          <w:szCs w:val="26"/>
        </w:rPr>
        <w:t>1812394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7 августа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вступившее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 августа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из которого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к административному взысканию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за совершение административного правонарушения, предусмотренного ч. 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карточк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автомобил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ВАЗ 21093 </w:t>
      </w:r>
      <w:r>
        <w:rPr>
          <w:rStyle w:val="cat-CarNumbergrp-29rplc-3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-справку ОГИБДД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России «Нижневартовский»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которой усматривается, что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eastAsia="Times New Roman" w:hAnsi="Times New Roman" w:cs="Times New Roman"/>
          <w:sz w:val="26"/>
          <w:szCs w:val="26"/>
        </w:rPr>
        <w:t>ранее привлекался к административной ответств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енности за иные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области правил дорожного движения, в том числе и по ч. 1 ст. 12.1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Также в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карточка операции с водительским удостоверением на имя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водительского удостоверения на имя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свидетельства о регистрации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автомобил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ВАЗ 21093 </w:t>
      </w:r>
      <w:r>
        <w:rPr>
          <w:rStyle w:val="cat-CarNumbergrp-29rplc-4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ГИС ГМП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1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постановлением Правительства №1090 от 23 октября 1993 года, </w:t>
      </w:r>
      <w:r>
        <w:rPr>
          <w:rFonts w:ascii="Times New Roman" w:eastAsia="Times New Roman" w:hAnsi="Times New Roman" w:cs="Times New Roman"/>
          <w:sz w:val="26"/>
          <w:szCs w:val="26"/>
        </w:rPr>
        <w:t>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«Транзит»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 1.1 статьи 12.1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предусматривает административную ответственность за повторное совершение административного правонарушения, предусмотренного частью 1 настоящей статьи, а именно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12.1 КоАП РФ наступает в случае повторного совершения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12.1 КоАП РФ (управление транспортным средством, не зарегистрированным в установленном порядке). Под повторным совершением однородного административного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 ч.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 4.6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7 августа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подвергнут административному взысканию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 за совершение административного правонарушения, предусмотренного ч. 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 августа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 совершил административное правонарушение, предусмотренное ч. 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квалифицирует его действия по ч. 1.1 ст. 12.1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1.1 ст.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его виновность подтверждены совокупностью исследованных в судебном заседании доказательств, достоверность и допустимость которых сомнений не вызывают.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смягчающ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</w:t>
      </w:r>
      <w:r>
        <w:rPr>
          <w:rFonts w:ascii="Times New Roman" w:eastAsia="Times New Roman" w:hAnsi="Times New Roman" w:cs="Times New Roman"/>
          <w:sz w:val="26"/>
          <w:szCs w:val="26"/>
        </w:rPr>
        <w:t>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считает возможным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Абдулгамидов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ивное наказание в виде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ративного штрафа, в размере, предусмотренном санкцией ч. </w:t>
      </w:r>
      <w:r>
        <w:rPr>
          <w:rFonts w:ascii="Times New Roman" w:eastAsia="Times New Roman" w:hAnsi="Times New Roman" w:cs="Times New Roman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Абдулгамидова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Рамазановича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виновным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частью 1.1 ст. </w:t>
      </w:r>
      <w:r>
        <w:rPr>
          <w:rFonts w:ascii="Times New Roman" w:eastAsia="Times New Roman" w:hAnsi="Times New Roman" w:cs="Times New Roman"/>
          <w:sz w:val="26"/>
          <w:szCs w:val="26"/>
        </w:rPr>
        <w:t>12.1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административному наказанию в виде в виде административного штрафа в размере 5 000 (пять тысяч)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должен быть уплачен в течение 60 дней со дня вступления постановления в законную силу на счет: </w:t>
      </w: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- Югре (УМВД России по ХМАО–Югре) ИНН 8601010390 КПП 860101001 Счет № 03100643000000018700, Банк: РКЦ Ханты-Мансийск//УФК по Ханты-Мансийскому автономному округу - Югре г. Ханты-Мансийск БИК 007162163 ОКТМО 71</w:t>
      </w:r>
      <w:r>
        <w:rPr>
          <w:rFonts w:ascii="Times New Roman" w:eastAsia="Times New Roman" w:hAnsi="Times New Roman" w:cs="Times New Roman"/>
          <w:sz w:val="26"/>
          <w:szCs w:val="26"/>
        </w:rPr>
        <w:t>819000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18811601123010001140, УИН 18810486</w:t>
      </w:r>
      <w:r>
        <w:rPr>
          <w:rFonts w:ascii="Times New Roman" w:eastAsia="Times New Roman" w:hAnsi="Times New Roman" w:cs="Times New Roman"/>
          <w:sz w:val="26"/>
          <w:szCs w:val="26"/>
        </w:rPr>
        <w:t>24028000</w:t>
      </w:r>
      <w:r>
        <w:rPr>
          <w:rFonts w:ascii="Times New Roman" w:eastAsia="Times New Roman" w:hAnsi="Times New Roman" w:cs="Times New Roman"/>
          <w:sz w:val="26"/>
          <w:szCs w:val="26"/>
        </w:rPr>
        <w:t>9216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 по адресу: г. Покачи, </w:t>
      </w:r>
      <w:r>
        <w:rPr>
          <w:rFonts w:ascii="Times New Roman" w:eastAsia="Times New Roman" w:hAnsi="Times New Roman" w:cs="Times New Roman"/>
          <w:sz w:val="26"/>
          <w:szCs w:val="26"/>
        </w:rPr>
        <w:t>пер. Майский, дом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Г.Х. Янбаева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9"/>
      <w:footerReference w:type="default" r:id="rId10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73388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6rplc-9">
    <w:name w:val="cat-PassportData grp-26 rplc-9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29rplc-20">
    <w:name w:val="cat-CarNumber grp-29 rplc-20"/>
    <w:basedOn w:val="DefaultParagraphFont"/>
  </w:style>
  <w:style w:type="character" w:customStyle="1" w:styleId="cat-CarNumbergrp-29rplc-35">
    <w:name w:val="cat-CarNumber grp-29 rplc-35"/>
    <w:basedOn w:val="DefaultParagraphFont"/>
  </w:style>
  <w:style w:type="character" w:customStyle="1" w:styleId="cat-CarNumbergrp-29rplc-40">
    <w:name w:val="cat-CarNumber grp-29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0" TargetMode="External" /><Relationship Id="rId5" Type="http://schemas.openxmlformats.org/officeDocument/2006/relationships/hyperlink" Target="garantF1://12025267.121011" TargetMode="External" /><Relationship Id="rId6" Type="http://schemas.openxmlformats.org/officeDocument/2006/relationships/hyperlink" Target="garantF1://12025267.12101" TargetMode="External" /><Relationship Id="rId7" Type="http://schemas.openxmlformats.org/officeDocument/2006/relationships/hyperlink" Target="garantF1://12025267.43012" TargetMode="External" /><Relationship Id="rId8" Type="http://schemas.openxmlformats.org/officeDocument/2006/relationships/hyperlink" Target="garantf1://12025267.12801/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C4249-12DD-4B24-B637-0B329FA4DE3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